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Style w:val="6"/>
          <w:rFonts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  <w:t>3</w:t>
      </w:r>
    </w:p>
    <w:p>
      <w:pPr>
        <w:jc w:val="center"/>
        <w:rPr>
          <w:rStyle w:val="6"/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6"/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双选会信息</w:t>
      </w:r>
    </w:p>
    <w:p>
      <w:pPr>
        <w:jc w:val="center"/>
        <w:rPr>
          <w:rStyle w:val="6"/>
          <w:rFonts w:hint="eastAsia"/>
          <w:b w:val="0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一、中国民用航空飞行学院双选会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304" w:hanging="3" w:firstLineChars="0"/>
        <w:jc w:val="both"/>
        <w:textAlignment w:val="auto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b/>
          <w:bCs/>
          <w:sz w:val="32"/>
          <w:szCs w:val="28"/>
        </w:rPr>
        <w:t xml:space="preserve">时间 </w:t>
      </w:r>
      <w:r>
        <w:rPr>
          <w:rFonts w:hint="eastAsia" w:ascii="仿宋_GB2312" w:hAnsi="仿宋" w:eastAsia="仿宋_GB2312"/>
          <w:sz w:val="32"/>
          <w:szCs w:val="28"/>
        </w:rPr>
        <w:t>：2024年3月27日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或28日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304" w:hanging="3" w:firstLineChars="0"/>
        <w:jc w:val="both"/>
        <w:textAlignment w:val="auto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b/>
          <w:bCs/>
          <w:sz w:val="32"/>
          <w:szCs w:val="28"/>
        </w:rPr>
        <w:t>地址：</w:t>
      </w:r>
      <w:r>
        <w:rPr>
          <w:rFonts w:hint="eastAsia" w:ascii="仿宋_GB2312" w:hAnsi="仿宋" w:eastAsia="仿宋_GB2312"/>
          <w:sz w:val="32"/>
          <w:szCs w:val="28"/>
        </w:rPr>
        <w:t>四川省广汉市南昌路四段46号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" w:leftChars="0" w:firstLine="643" w:firstLineChars="0"/>
        <w:jc w:val="both"/>
        <w:textAlignment w:val="auto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b/>
          <w:bCs/>
          <w:sz w:val="32"/>
          <w:szCs w:val="28"/>
        </w:rPr>
        <w:t>涉及毕业生专业及人数：</w:t>
      </w:r>
      <w:r>
        <w:rPr>
          <w:rFonts w:hint="eastAsia" w:ascii="仿宋_GB2312" w:hAnsi="仿宋" w:eastAsia="仿宋_GB2312"/>
          <w:sz w:val="32"/>
          <w:szCs w:val="28"/>
        </w:rPr>
        <w:t>2024届航空电子电气学院（无人机学院）毕业生378人，电子158人，电气161人，无人驾驶航空器系统工程53人。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304" w:hanging="3" w:firstLineChars="0"/>
        <w:jc w:val="both"/>
        <w:textAlignment w:val="auto"/>
        <w:rPr>
          <w:rFonts w:hint="eastAsia" w:ascii="仿宋_GB2312" w:hAnsi="仿宋" w:eastAsia="仿宋_GB2312"/>
          <w:b/>
          <w:bCs/>
          <w:sz w:val="32"/>
          <w:szCs w:val="28"/>
        </w:rPr>
      </w:pPr>
      <w:r>
        <w:rPr>
          <w:rFonts w:hint="eastAsia" w:ascii="仿宋_GB2312" w:hAnsi="仿宋" w:eastAsia="仿宋_GB2312"/>
          <w:b/>
          <w:bCs/>
          <w:sz w:val="32"/>
          <w:szCs w:val="28"/>
        </w:rPr>
        <w:t>院校简介：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中国民用航空飞行学院，简称“中飞院”，创建于1956年，是中国民航局直属的部省共建本科高校。学院以培养民航飞行员、工程技术和民航运行管理人才为主的办学格局，其中全民航70%的飞行员、80%的机长、90%的功勋飞行员从这里启航，被誉为“中国民航飞行员的摇篮”，成为世界民航职业飞行员培养规模最大、能力最强、安全最好、质量过硬，享誉国内外民航的高等学府。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 w:firstLine="640" w:firstLineChars="200"/>
        <w:jc w:val="both"/>
        <w:textAlignment w:val="auto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本次主要面向航空电子电气学院（无人机学院）毕业生，学院以“维修+”和“信息+”为专业建设双引擎，结合在校生机务执照培训试点的改革契机，对传统机务专业进行提档升级，在传统维修人才“学历学位+维修执照+专业英语”培养模式基础上，突出政治素养与信息技术，建设了四川省课程思政课程和课程思政课示范教学团队，培养支撑民机维修及无人机发展的高级技术人才，拥有四川省一流专业2个。依托四川省通用航空维修工程技术研究中心开展科学研究，在通用航空维修领域居于领先地位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二、重庆交通大学双选会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304" w:hanging="3" w:firstLineChars="0"/>
        <w:jc w:val="both"/>
        <w:textAlignment w:val="auto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b/>
          <w:bCs/>
          <w:sz w:val="32"/>
          <w:szCs w:val="28"/>
        </w:rPr>
        <w:t>时间：</w:t>
      </w:r>
      <w:r>
        <w:rPr>
          <w:rFonts w:hint="eastAsia" w:ascii="仿宋_GB2312" w:hAnsi="仿宋" w:eastAsia="仿宋_GB2312"/>
          <w:sz w:val="32"/>
          <w:szCs w:val="28"/>
        </w:rPr>
        <w:t>2024年3月29日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304" w:hanging="3" w:firstLineChars="0"/>
        <w:jc w:val="both"/>
        <w:textAlignment w:val="auto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b/>
          <w:bCs/>
          <w:sz w:val="32"/>
          <w:szCs w:val="28"/>
        </w:rPr>
        <w:t>地址：</w:t>
      </w:r>
      <w:r>
        <w:rPr>
          <w:rFonts w:hint="eastAsia" w:ascii="仿宋_GB2312" w:hAnsi="仿宋" w:eastAsia="仿宋_GB2312"/>
          <w:sz w:val="32"/>
          <w:szCs w:val="28"/>
        </w:rPr>
        <w:t>重庆市南岸区学府大道66号重庆交通大学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" w:leftChars="0" w:firstLine="643" w:firstLineChars="0"/>
        <w:jc w:val="both"/>
        <w:textAlignment w:val="auto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b/>
          <w:bCs/>
          <w:sz w:val="32"/>
          <w:szCs w:val="28"/>
        </w:rPr>
        <w:t>涉及毕业生专业及人数：</w:t>
      </w:r>
      <w:r>
        <w:rPr>
          <w:rFonts w:hint="eastAsia" w:ascii="仿宋_GB2312" w:hAnsi="仿宋" w:eastAsia="仿宋_GB2312"/>
          <w:sz w:val="32"/>
          <w:szCs w:val="28"/>
        </w:rPr>
        <w:t>机械（航空工程）、飞行器制造工程、飞行器动力工程、人工智能等专业毕业生8000余名。</w:t>
      </w:r>
    </w:p>
    <w:p>
      <w:pPr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304" w:hanging="3" w:firstLineChars="0"/>
        <w:jc w:val="both"/>
        <w:textAlignment w:val="auto"/>
        <w:rPr>
          <w:rFonts w:ascii="仿宋_GB2312" w:hAnsi="仿宋" w:eastAsia="仿宋_GB2312"/>
          <w:b/>
          <w:bCs/>
          <w:sz w:val="32"/>
          <w:szCs w:val="28"/>
        </w:rPr>
      </w:pPr>
      <w:r>
        <w:rPr>
          <w:rFonts w:hint="eastAsia" w:ascii="仿宋_GB2312" w:hAnsi="仿宋" w:eastAsia="仿宋_GB2312"/>
          <w:b/>
          <w:bCs/>
          <w:sz w:val="32"/>
          <w:szCs w:val="28"/>
        </w:rPr>
        <w:t>院校简介：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7" w:firstLineChars="0"/>
        <w:jc w:val="both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重庆交通大学是一所交通特色鲜明、以工为主的多科性大学。1951年，根据毛主席指示，为修建康藏公路、建设大西南，邓小平主持的西南军政委员会创办学校，时名西南交通专科学校。1960年，组建重庆交通学院。随后成都工学院土木系、四川冶金学院冶金系、武汉水运学院水工系等相继并入。2000年，学校由交通部划转重庆市管理，为省部共建高校。2006年，学校更名为重庆交通大学，并增列为博士学位授予单位。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36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848603443"/>
    </w:sdtPr>
    <w:sdtEndPr>
      <w:rPr>
        <w:rStyle w:val="7"/>
        <w:rFonts w:ascii="Times New Roman" w:hAnsi="Times New Roman"/>
        <w:sz w:val="28"/>
        <w:szCs w:val="28"/>
      </w:rPr>
    </w:sdtEndPr>
    <w:sdtContent>
      <w:p>
        <w:pPr>
          <w:pStyle w:val="2"/>
          <w:framePr w:wrap="auto" w:vAnchor="text" w:hAnchor="margin" w:xAlign="outside" w:y="1"/>
          <w:rPr>
            <w:rStyle w:val="7"/>
            <w:rFonts w:ascii="Times New Roman" w:hAnsi="Times New Roman"/>
            <w:sz w:val="28"/>
            <w:szCs w:val="28"/>
          </w:rPr>
        </w:pPr>
        <w:r>
          <w:rPr>
            <w:rStyle w:val="7"/>
          </w:rPr>
          <w:t>—</w:t>
        </w: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2</w:t>
        </w:r>
        <w:r>
          <w:rPr>
            <w:rStyle w:val="7"/>
          </w:rPr>
          <w:fldChar w:fldCharType="end"/>
        </w:r>
        <w:r>
          <w:rPr>
            <w:rStyle w:val="7"/>
          </w:rPr>
          <w:t>—</w:t>
        </w:r>
      </w:p>
    </w:sdtContent>
  </w:sdt>
  <w:p>
    <w:pPr>
      <w:pStyle w:val="2"/>
      <w:ind w:right="360" w:firstLine="360"/>
      <w:rPr>
        <w:rFonts w:ascii="Times New Roman" w:hAnsi="Times New Roman"/>
        <w:sz w:val="28"/>
        <w:szCs w:val="28"/>
      </w:rPr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828483302"/>
    </w:sdtPr>
    <w:sdtEndPr>
      <w:rPr>
        <w:rStyle w:val="7"/>
      </w:rPr>
    </w:sdtEndPr>
    <w:sdtContent>
      <w:p>
        <w:pPr>
          <w:pStyle w:val="2"/>
          <w:framePr w:wrap="auto" w:vAnchor="text" w:hAnchor="margin" w:xAlign="outside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2"/>
      <w:ind w:right="360" w:firstLine="360"/>
    </w:pPr>
  </w:p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MDhiNGM0NmIzN2YxMWQzMjBmNmVhZGE1Y2NhODMifQ=="/>
  </w:docVars>
  <w:rsids>
    <w:rsidRoot w:val="03422A9A"/>
    <w:rsid w:val="034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2024-03-13T04:53:00Z</dcterms:created>
  <dc:creator>东森电脑</dc:creator>
  <cp:lastModifiedBy>东森电脑</cp:lastModifiedBy>
  <dcterms:modified xsi:type="dcterms:W3CDTF">2024-03-13T04:53:36Z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44F967DA666C49208019DD2A57261C25_11</vt:lpwstr>
  </property>
</Properties>
</file>